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1"/>
        <w:gridCol w:w="329"/>
        <w:gridCol w:w="338"/>
        <w:gridCol w:w="344"/>
      </w:tblGrid>
      <w:tr w:rsidR="00B63923" w:rsidRPr="00B63923" w:rsidTr="00B63923">
        <w:tc>
          <w:tcPr>
            <w:tcW w:w="8231" w:type="dxa"/>
          </w:tcPr>
          <w:p w:rsidR="00B63923" w:rsidRPr="00634722" w:rsidRDefault="00B63923" w:rsidP="00943192">
            <w:pPr>
              <w:jc w:val="center"/>
              <w:rPr>
                <w:b/>
                <w:sz w:val="20"/>
                <w:szCs w:val="20"/>
              </w:rPr>
            </w:pPr>
            <w:r w:rsidRPr="00634722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29" w:type="dxa"/>
            <w:shd w:val="clear" w:color="auto" w:fill="FF0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338" w:type="dxa"/>
            <w:shd w:val="clear" w:color="auto" w:fill="FFC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44" w:type="dxa"/>
            <w:shd w:val="clear" w:color="auto" w:fill="92D05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Health, exercise and fitness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definitions of health and fitness and the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relationship between them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consideration of the problems associated with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trying to define health and fitness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components of health-related fitness –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stamina, muscular endurance, strength,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speed, power, flexibility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components of skill-related fitness – reaction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time, agility, co-ordination and balance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lifestyle choices on health and fitness.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Nutrition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the seven classes of food and their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exercise-related function – fats, proteins,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carbohydrates, vitamins, fibre, minerals and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the need for a balanced diet and the energy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balance of food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the performer’s use of nutritional information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based on their activity, difference in diet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composition between endurance athletes and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power athletes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definitions of obesity and the limitations in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trying to define it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percentage body fat/body composition and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Body Mass Index (BMI) as measures of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nutritional suitability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Pulmonary function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mechanics of breathing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lung volumes and capacities and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interpretations from spirometer readings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regarding rest and exercise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gas exchange systems at alveoli and muscles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principles of diffusion, partial pressures,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difference in oxygen and carbon dioxide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content between alveolar air and pulmonary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blood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role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blood carbon dioxide in changing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breathing rate.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Transport of blood gases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roles of haemoglobin and myoglobin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transport of oxygen – Bohr shift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pulmonary and systematic circulation related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 the various blood vessels (arteries/arterioles/capillaries/</w:t>
            </w:r>
            <w:proofErr w:type="spell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venules</w:t>
            </w:r>
            <w:proofErr w:type="spell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veins)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generation of blood pressures/velocities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venous return mechanism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redistribution of blood/vascular shunting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spellStart"/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arterio</w:t>
            </w:r>
            <w:proofErr w:type="spell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-venous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oxygen difference (A-VO2 diff).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Cardiac function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cardiac cycle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cardiac output, stroke volume and heart rate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 the relationship between them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heart rate range in response to exercise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hormonal and nervous effects on heart rate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role of blood carbon dioxide in changing heart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cardiac hypertrophy leading to bradycardia/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athlete’s heart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Starling’s law of the heart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cardio-vascular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drift.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634722" w:rsidTr="00B63923">
        <w:trPr>
          <w:trHeight w:val="355"/>
        </w:trPr>
        <w:tc>
          <w:tcPr>
            <w:tcW w:w="8231" w:type="dxa"/>
          </w:tcPr>
          <w:p w:rsidR="00B63923" w:rsidRPr="00634722" w:rsidRDefault="00B63923" w:rsidP="00943192">
            <w:pPr>
              <w:jc w:val="center"/>
              <w:rPr>
                <w:b/>
                <w:sz w:val="20"/>
                <w:szCs w:val="20"/>
              </w:rPr>
            </w:pPr>
            <w:r w:rsidRPr="00634722">
              <w:rPr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329" w:type="dxa"/>
            <w:shd w:val="clear" w:color="auto" w:fill="FF0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338" w:type="dxa"/>
            <w:shd w:val="clear" w:color="auto" w:fill="FFC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44" w:type="dxa"/>
            <w:shd w:val="clear" w:color="auto" w:fill="92D05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Analysis of movement in specified sporting actions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(including planes and axes)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shoulder and elbow action in – push-ups,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over-arm throwing, forehand racket strokes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hip, knee and ankle action in – running,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kicking, jumping, squats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types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joint, articulating bones, joint actions,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main agonists and antagonists, types of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muscle contraction: isotonic (concentric and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eccentric) and isometric related to the above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sporting actions.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Levers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three classes of levers and examples of their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in the body related to the above specified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sporting actions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relationship of levers to effective performance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mechanical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advantages and disadvantages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 range and speed of movement.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Characteristics and definitions of skill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• Difference between motor and perceptual abilities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• Difference between skill and ability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• Types of skill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cognitive, perceptual and psychomotor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• Classification of skill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skill continua (open – closed, discrete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serial – continuous, gross – fine, </w:t>
            </w:r>
            <w:proofErr w:type="spell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self paced</w:t>
            </w:r>
            <w:proofErr w:type="spell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–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externally paced).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• Information processing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input – senses, receptors, proprioception,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perception, selective attention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memory – functions and characteristics of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short-term sensory store, short-term memory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 long-term memory; strategies to improve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memory, chunking, chaining, mental rehearsal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 practice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decision making – reaction time, simple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reaction time, choice reaction time, response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time, movement time and the relationship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between them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anticipation temporal and spatial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factors affecting reaction time, Hick’s law,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psychological refractory period, single channel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hypothesis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motor programmes and sub routines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open and closed-loop control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factors affecting the efficiency of the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components of the information processing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system and strategies for improvement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45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Learning and performance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learning – stages of learning, use of guidance,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feedback differs between the different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stages of learning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learning plateaus – causes and solutions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motivation – intrinsic, extrinsic, tangible and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intangible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learning theories – operant conditioning,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positive and negative reinforcement and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punishment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cognitive/insight theories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Bandura’s observational model of learning,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social learning theory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motor learning –Schmidt’s schema theory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</w:tcPr>
          <w:p w:rsidR="00B63923" w:rsidRPr="00634722" w:rsidRDefault="00B63923" w:rsidP="00943192">
            <w:pPr>
              <w:jc w:val="center"/>
              <w:rPr>
                <w:b/>
                <w:sz w:val="20"/>
                <w:szCs w:val="20"/>
              </w:rPr>
            </w:pPr>
            <w:r w:rsidRPr="00634722">
              <w:rPr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329" w:type="dxa"/>
            <w:shd w:val="clear" w:color="auto" w:fill="FF0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338" w:type="dxa"/>
            <w:shd w:val="clear" w:color="auto" w:fill="FFC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44" w:type="dxa"/>
            <w:shd w:val="clear" w:color="auto" w:fill="92D05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(recall, recognition, initial conditions, response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specifications, sensory consequences,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response outcomes)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transfer of learning (positive, negative, zero,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bilateral, proactive and retroactive)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impact of practice on improving learning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goal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setting – benefits and types, principles of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goal setting.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639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Opportunities for Participation:</w:t>
            </w:r>
          </w:p>
        </w:tc>
        <w:tc>
          <w:tcPr>
            <w:tcW w:w="329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characteristics and objectives of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play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physical education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leisure and recreation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active leisure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outdoor and adventurous activities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sport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relationships between these concepts, and be able to compare and contrast one concept with another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benefits of play, physical education, active leisure, outdoor and adventurous activities and sport to the individual and to society.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639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</w:t>
            </w:r>
            <w:r w:rsidRPr="009456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urrent provision for active leisure.</w:t>
            </w:r>
          </w:p>
        </w:tc>
        <w:tc>
          <w:tcPr>
            <w:tcW w:w="329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characteristics and goals of the public, private and voluntary sectors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advantages and disadvantages of the public, private and voluntary sector provision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concept of ‘best value’ in relation to public sector provision.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639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</w:t>
            </w:r>
            <w:r w:rsidRPr="009456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ole of schools and national governing bodies in creating opportunities for increasing participation.</w:t>
            </w:r>
          </w:p>
        </w:tc>
        <w:tc>
          <w:tcPr>
            <w:tcW w:w="329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• the historical, social and cultural factors contributing towards the development of the current provision of physical education </w:t>
            </w:r>
          </w:p>
        </w:tc>
        <w:tc>
          <w:tcPr>
            <w:tcW w:w="329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nfluence of the English public schools on the emergence of rational recreation </w:t>
            </w:r>
          </w:p>
        </w:tc>
        <w:tc>
          <w:tcPr>
            <w:tcW w:w="329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– 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 concept of fair play</w:t>
            </w:r>
          </w:p>
        </w:tc>
        <w:tc>
          <w:tcPr>
            <w:tcW w:w="329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•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development of physical activity within state elementary schools from the early 20th century the concepts of </w:t>
            </w:r>
            <w:proofErr w:type="spell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</w:t>
            </w:r>
            <w:proofErr w:type="spell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the emphasis on movement have helped increase participation</w:t>
            </w:r>
          </w:p>
        </w:tc>
        <w:tc>
          <w:tcPr>
            <w:tcW w:w="329" w:type="dxa"/>
          </w:tcPr>
          <w:p w:rsidR="00B63923" w:rsidRPr="00B63923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B63923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B63923" w:rsidRDefault="00B63923" w:rsidP="00886DB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military drill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post World War II provision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emphasis on movement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characteristics of each of the Key Stages of the National Curriculum for Physical Education and the relevance of each in relation to increasing opportunity for participation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factors influencing provision in schools and the impact this has on pupils’ experiences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effects of developing school-club links initiatives such as</w:t>
            </w:r>
            <w:r w:rsidRPr="00B63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9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Physical Education School Sport and Club Link Strategy (PESSCLS), </w:t>
            </w:r>
          </w:p>
        </w:tc>
        <w:tc>
          <w:tcPr>
            <w:tcW w:w="329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School Sports Co-ordinator, </w:t>
            </w:r>
          </w:p>
        </w:tc>
        <w:tc>
          <w:tcPr>
            <w:tcW w:w="329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Sports Colleges, </w:t>
            </w:r>
          </w:p>
        </w:tc>
        <w:tc>
          <w:tcPr>
            <w:tcW w:w="329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Active Sports, </w:t>
            </w:r>
          </w:p>
        </w:tc>
        <w:tc>
          <w:tcPr>
            <w:tcW w:w="329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Sports Leaders UK, </w:t>
            </w:r>
          </w:p>
        </w:tc>
        <w:tc>
          <w:tcPr>
            <w:tcW w:w="329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TOPS programme, </w:t>
            </w:r>
          </w:p>
        </w:tc>
        <w:tc>
          <w:tcPr>
            <w:tcW w:w="329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B6392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Whole Sport plans designed to encourage the development of school-club links and explain the potential benefits to the government (individuals or community)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</w:tcPr>
          <w:p w:rsidR="00B63923" w:rsidRPr="00634722" w:rsidRDefault="00B63923" w:rsidP="00943192">
            <w:pPr>
              <w:jc w:val="center"/>
              <w:rPr>
                <w:b/>
                <w:sz w:val="20"/>
                <w:szCs w:val="20"/>
              </w:rPr>
            </w:pPr>
            <w:r w:rsidRPr="00634722">
              <w:rPr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329" w:type="dxa"/>
            <w:shd w:val="clear" w:color="auto" w:fill="FF0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338" w:type="dxa"/>
            <w:shd w:val="clear" w:color="auto" w:fill="FFC00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44" w:type="dxa"/>
            <w:shd w:val="clear" w:color="auto" w:fill="92D050"/>
          </w:tcPr>
          <w:p w:rsidR="00B63923" w:rsidRPr="00634722" w:rsidRDefault="00B63923" w:rsidP="009431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role of national governing bodies, Sport England and Youth Sports Trust in increasing participation.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B63923" w:rsidTr="00B63923">
        <w:trPr>
          <w:trHeight w:val="300"/>
        </w:trPr>
        <w:tc>
          <w:tcPr>
            <w:tcW w:w="8231" w:type="dxa"/>
            <w:noWrap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639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  <w:r w:rsidRPr="0094566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otential barriers to participation and possible solutions for various target groups.</w:t>
            </w:r>
          </w:p>
        </w:tc>
        <w:tc>
          <w:tcPr>
            <w:tcW w:w="329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B63923" w:rsidRDefault="00B63923" w:rsidP="0094566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• the terms equal opportunity, discrimination, stereotyping, inclusiveness and prejudice and give possible examples of each in sport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disability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socio-economic class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ethnic group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– gender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3923" w:rsidRPr="0094566A" w:rsidTr="00B63923">
        <w:trPr>
          <w:trHeight w:val="300"/>
        </w:trPr>
        <w:tc>
          <w:tcPr>
            <w:tcW w:w="8231" w:type="dxa"/>
            <w:noWrap/>
            <w:hideMark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gramStart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94566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solutions to overcome discrimination in sport to raise participation.</w:t>
            </w:r>
          </w:p>
        </w:tc>
        <w:tc>
          <w:tcPr>
            <w:tcW w:w="329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</w:tcPr>
          <w:p w:rsidR="00B63923" w:rsidRPr="0094566A" w:rsidRDefault="00B63923" w:rsidP="0094566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12A57" w:rsidRPr="00B63923" w:rsidRDefault="00612A57">
      <w:pPr>
        <w:rPr>
          <w:sz w:val="20"/>
          <w:szCs w:val="20"/>
        </w:rPr>
      </w:pPr>
      <w:bookmarkStart w:id="0" w:name="_GoBack"/>
      <w:bookmarkEnd w:id="0"/>
    </w:p>
    <w:sectPr w:rsidR="00612A57" w:rsidRPr="00B639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23" w:rsidRDefault="00B63923" w:rsidP="00B63923">
      <w:pPr>
        <w:spacing w:after="0" w:line="240" w:lineRule="auto"/>
      </w:pPr>
      <w:r>
        <w:separator/>
      </w:r>
    </w:p>
  </w:endnote>
  <w:endnote w:type="continuationSeparator" w:id="0">
    <w:p w:rsidR="00B63923" w:rsidRDefault="00B63923" w:rsidP="00B6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23" w:rsidRDefault="00B63923" w:rsidP="00B63923">
      <w:pPr>
        <w:spacing w:after="0" w:line="240" w:lineRule="auto"/>
      </w:pPr>
      <w:r>
        <w:separator/>
      </w:r>
    </w:p>
  </w:footnote>
  <w:footnote w:type="continuationSeparator" w:id="0">
    <w:p w:rsidR="00B63923" w:rsidRDefault="00B63923" w:rsidP="00B6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3" w:rsidRDefault="00B63923">
    <w:pPr>
      <w:pStyle w:val="Header"/>
    </w:pPr>
    <w:r>
      <w:t>AS Physical Education Personalised Learning Checklist:</w:t>
    </w:r>
  </w:p>
  <w:p w:rsidR="00B63923" w:rsidRDefault="00B63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060A"/>
    <w:multiLevelType w:val="hybridMultilevel"/>
    <w:tmpl w:val="D592CB7E"/>
    <w:lvl w:ilvl="0" w:tplc="D2BE50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A"/>
    <w:rsid w:val="00612A57"/>
    <w:rsid w:val="00886DBA"/>
    <w:rsid w:val="0094566A"/>
    <w:rsid w:val="00B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23"/>
  </w:style>
  <w:style w:type="paragraph" w:styleId="Footer">
    <w:name w:val="footer"/>
    <w:basedOn w:val="Normal"/>
    <w:link w:val="FooterChar"/>
    <w:uiPriority w:val="99"/>
    <w:unhideWhenUsed/>
    <w:rsid w:val="00B6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23"/>
  </w:style>
  <w:style w:type="paragraph" w:styleId="BalloonText">
    <w:name w:val="Balloon Text"/>
    <w:basedOn w:val="Normal"/>
    <w:link w:val="BalloonTextChar"/>
    <w:uiPriority w:val="99"/>
    <w:semiHidden/>
    <w:unhideWhenUsed/>
    <w:rsid w:val="00B6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23"/>
  </w:style>
  <w:style w:type="paragraph" w:styleId="Footer">
    <w:name w:val="footer"/>
    <w:basedOn w:val="Normal"/>
    <w:link w:val="FooterChar"/>
    <w:uiPriority w:val="99"/>
    <w:unhideWhenUsed/>
    <w:rsid w:val="00B6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23"/>
  </w:style>
  <w:style w:type="paragraph" w:styleId="BalloonText">
    <w:name w:val="Balloon Text"/>
    <w:basedOn w:val="Normal"/>
    <w:link w:val="BalloonTextChar"/>
    <w:uiPriority w:val="99"/>
    <w:semiHidden/>
    <w:unhideWhenUsed/>
    <w:rsid w:val="00B6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E02E-427A-4874-A8BC-FAF5701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L.Clift</cp:lastModifiedBy>
  <cp:revision>1</cp:revision>
  <dcterms:created xsi:type="dcterms:W3CDTF">2014-07-10T11:37:00Z</dcterms:created>
  <dcterms:modified xsi:type="dcterms:W3CDTF">2014-07-10T12:07:00Z</dcterms:modified>
</cp:coreProperties>
</file>